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C492F" w:rsidRDefault="003C492F">
      <w:pPr>
        <w:jc w:val="center"/>
        <w:rPr>
          <w:rFonts w:ascii="Times New Roman" w:eastAsia="Times New Roman" w:hAnsi="Times New Roman" w:cs="Times New Roman"/>
          <w:sz w:val="24"/>
          <w:szCs w:val="24"/>
        </w:rPr>
      </w:pPr>
    </w:p>
    <w:p w14:paraId="00000002" w14:textId="77777777" w:rsidR="003C492F" w:rsidRDefault="003C492F">
      <w:pPr>
        <w:jc w:val="center"/>
        <w:rPr>
          <w:rFonts w:ascii="Times New Roman" w:eastAsia="Times New Roman" w:hAnsi="Times New Roman" w:cs="Times New Roman"/>
          <w:b/>
          <w:color w:val="002060"/>
          <w:sz w:val="48"/>
          <w:szCs w:val="48"/>
        </w:rPr>
      </w:pPr>
    </w:p>
    <w:p w14:paraId="00000003" w14:textId="77777777" w:rsidR="003C492F" w:rsidRPr="007F3C0E" w:rsidRDefault="00B25A22">
      <w:pPr>
        <w:jc w:val="center"/>
        <w:rPr>
          <w:rFonts w:ascii="Libre Baskerville" w:eastAsia="Libre Baskerville" w:hAnsi="Libre Baskerville" w:cs="Libre Baskerville"/>
          <w:b/>
          <w:color w:val="002060"/>
          <w:sz w:val="64"/>
          <w:szCs w:val="64"/>
        </w:rPr>
      </w:pPr>
      <w:r w:rsidRPr="007F3C0E">
        <w:rPr>
          <w:rFonts w:ascii="Libre Baskerville" w:eastAsia="Libre Baskerville" w:hAnsi="Libre Baskerville" w:cs="Libre Baskerville"/>
          <w:b/>
          <w:color w:val="002060"/>
          <w:sz w:val="64"/>
          <w:szCs w:val="64"/>
        </w:rPr>
        <w:t>ELISTAT PROJECT</w:t>
      </w:r>
    </w:p>
    <w:p w14:paraId="00000004" w14:textId="77777777" w:rsidR="003C492F" w:rsidRDefault="00B25A22">
      <w:pPr>
        <w:jc w:val="center"/>
        <w:rPr>
          <w:rFonts w:ascii="Libre Baskerville" w:eastAsia="Libre Baskerville" w:hAnsi="Libre Baskerville" w:cs="Libre Baskerville"/>
          <w:b/>
          <w:color w:val="002060"/>
          <w:sz w:val="24"/>
          <w:szCs w:val="24"/>
        </w:rPr>
      </w:pPr>
      <w:r>
        <w:rPr>
          <w:rFonts w:ascii="Libre Baskerville" w:eastAsia="Libre Baskerville" w:hAnsi="Libre Baskerville" w:cs="Libre Baskerville"/>
          <w:b/>
          <w:color w:val="002060"/>
          <w:sz w:val="24"/>
          <w:szCs w:val="24"/>
        </w:rPr>
        <w:t>Enriching the Lives of Seniors through the Art Therapy</w:t>
      </w:r>
    </w:p>
    <w:p w14:paraId="00000005" w14:textId="77777777" w:rsidR="003C492F" w:rsidRDefault="00B25A22">
      <w:pPr>
        <w:jc w:val="center"/>
        <w:rPr>
          <w:rFonts w:ascii="Libre Baskerville" w:eastAsia="Libre Baskerville" w:hAnsi="Libre Baskerville" w:cs="Libre Baskerville"/>
          <w:b/>
          <w:color w:val="002060"/>
          <w:sz w:val="24"/>
          <w:szCs w:val="24"/>
        </w:rPr>
      </w:pPr>
      <w:r>
        <w:rPr>
          <w:rFonts w:ascii="Libre Baskerville" w:eastAsia="Libre Baskerville" w:hAnsi="Libre Baskerville" w:cs="Libre Baskerville"/>
          <w:b/>
          <w:color w:val="002060"/>
          <w:sz w:val="24"/>
          <w:szCs w:val="24"/>
        </w:rPr>
        <w:t>2020-1-TR01-KA227-ADU-097696</w:t>
      </w:r>
      <w:bookmarkStart w:id="0" w:name="_GoBack"/>
      <w:bookmarkEnd w:id="0"/>
    </w:p>
    <w:p w14:paraId="00000006" w14:textId="77777777" w:rsidR="003C492F" w:rsidRDefault="003C492F">
      <w:pPr>
        <w:jc w:val="center"/>
        <w:rPr>
          <w:rFonts w:ascii="Libre Baskerville" w:eastAsia="Libre Baskerville" w:hAnsi="Libre Baskerville" w:cs="Libre Baskerville"/>
          <w:b/>
          <w:color w:val="002060"/>
          <w:sz w:val="24"/>
          <w:szCs w:val="24"/>
        </w:rPr>
      </w:pPr>
    </w:p>
    <w:p w14:paraId="00000008" w14:textId="241E2B26" w:rsidR="003C492F" w:rsidRPr="007F3C0E" w:rsidRDefault="00421E7C">
      <w:pPr>
        <w:jc w:val="center"/>
        <w:rPr>
          <w:rFonts w:ascii="Libre Baskerville" w:eastAsia="Libre Baskerville" w:hAnsi="Libre Baskerville" w:cs="Libre Baskerville"/>
          <w:b/>
          <w:color w:val="002060"/>
          <w:sz w:val="64"/>
          <w:szCs w:val="64"/>
        </w:rPr>
      </w:pPr>
      <w:r w:rsidRPr="007F3C0E">
        <w:rPr>
          <w:rFonts w:ascii="Libre Baskerville" w:eastAsia="Libre Baskerville" w:hAnsi="Libre Baskerville" w:cs="Libre Baskerville"/>
          <w:b/>
          <w:color w:val="002060"/>
          <w:sz w:val="64"/>
          <w:szCs w:val="64"/>
        </w:rPr>
        <w:t>Useful Resources and References</w:t>
      </w:r>
    </w:p>
    <w:p w14:paraId="346A09AD" w14:textId="677CD726" w:rsidR="00421E7C" w:rsidRPr="007F3C0E" w:rsidRDefault="00421E7C">
      <w:pPr>
        <w:jc w:val="center"/>
        <w:rPr>
          <w:rFonts w:ascii="Times New Roman" w:eastAsia="Times New Roman" w:hAnsi="Times New Roman" w:cs="Times New Roman"/>
          <w:sz w:val="64"/>
          <w:szCs w:val="64"/>
        </w:rPr>
      </w:pPr>
      <w:r w:rsidRPr="007F3C0E">
        <w:rPr>
          <w:rFonts w:ascii="Libre Baskerville" w:eastAsia="Libre Baskerville" w:hAnsi="Libre Baskerville" w:cs="Libre Baskerville"/>
          <w:b/>
          <w:color w:val="002060"/>
          <w:sz w:val="64"/>
          <w:szCs w:val="64"/>
        </w:rPr>
        <w:t>For Trainers</w:t>
      </w:r>
    </w:p>
    <w:p w14:paraId="00000009" w14:textId="77777777" w:rsidR="003C492F" w:rsidRDefault="00B25A22">
      <w:pP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val="tr-TR"/>
        </w:rPr>
        <mc:AlternateContent>
          <mc:Choice Requires="wpg">
            <w:drawing>
              <wp:anchor distT="0" distB="0" distL="114300" distR="114300" simplePos="0" relativeHeight="251658240" behindDoc="0" locked="0" layoutInCell="1" hidden="0" allowOverlap="1">
                <wp:simplePos x="0" y="0"/>
                <wp:positionH relativeFrom="page">
                  <wp:posOffset>-547681</wp:posOffset>
                </wp:positionH>
                <wp:positionV relativeFrom="page">
                  <wp:posOffset>5930265</wp:posOffset>
                </wp:positionV>
                <wp:extent cx="20231555" cy="4735091"/>
                <wp:effectExtent l="0" t="0" r="0" b="0"/>
                <wp:wrapNone/>
                <wp:docPr id="62" name="Grup 62"/>
                <wp:cNvGraphicFramePr/>
                <a:graphic xmlns:a="http://schemas.openxmlformats.org/drawingml/2006/main">
                  <a:graphicData uri="http://schemas.microsoft.com/office/word/2010/wordprocessingGroup">
                    <wpg:wgp>
                      <wpg:cNvGrpSpPr/>
                      <wpg:grpSpPr>
                        <a:xfrm>
                          <a:off x="0" y="0"/>
                          <a:ext cx="20231555" cy="4735091"/>
                          <a:chOff x="0" y="1412455"/>
                          <a:chExt cx="10692000" cy="4735091"/>
                        </a:xfrm>
                      </wpg:grpSpPr>
                      <wpg:grpSp>
                        <wpg:cNvPr id="1" name="Grup 1"/>
                        <wpg:cNvGrpSpPr/>
                        <wpg:grpSpPr>
                          <a:xfrm>
                            <a:off x="0" y="1412455"/>
                            <a:ext cx="10692000" cy="4735091"/>
                            <a:chOff x="0" y="1412455"/>
                            <a:chExt cx="10692000" cy="4735091"/>
                          </a:xfrm>
                        </wpg:grpSpPr>
                        <wps:wsp>
                          <wps:cNvPr id="2" name="Dikdörtgen 2"/>
                          <wps:cNvSpPr/>
                          <wps:spPr>
                            <a:xfrm>
                              <a:off x="0" y="1412455"/>
                              <a:ext cx="10692000" cy="4735075"/>
                            </a:xfrm>
                            <a:prstGeom prst="rect">
                              <a:avLst/>
                            </a:prstGeom>
                            <a:noFill/>
                            <a:ln>
                              <a:noFill/>
                            </a:ln>
                          </wps:spPr>
                          <wps:txbx>
                            <w:txbxContent>
                              <w:p w14:paraId="40653525" w14:textId="77777777" w:rsidR="003C492F" w:rsidRDefault="003C492F">
                                <w:pPr>
                                  <w:spacing w:after="0" w:line="240" w:lineRule="auto"/>
                                  <w:textDirection w:val="btLr"/>
                                </w:pPr>
                              </w:p>
                            </w:txbxContent>
                          </wps:txbx>
                          <wps:bodyPr spcFirstLastPara="1" wrap="square" lIns="91425" tIns="91425" rIns="91425" bIns="91425" anchor="ctr" anchorCtr="0">
                            <a:noAutofit/>
                          </wps:bodyPr>
                        </wps:wsp>
                        <wpg:grpSp>
                          <wpg:cNvPr id="3" name="Grup 3"/>
                          <wpg:cNvGrpSpPr/>
                          <wpg:grpSpPr>
                            <a:xfrm>
                              <a:off x="0" y="1412455"/>
                              <a:ext cx="10692000" cy="4735091"/>
                              <a:chOff x="0" y="8205"/>
                              <a:chExt cx="16839" cy="3702"/>
                            </a:xfrm>
                          </wpg:grpSpPr>
                          <wps:wsp>
                            <wps:cNvPr id="4" name="Dikdörtgen 4"/>
                            <wps:cNvSpPr/>
                            <wps:spPr>
                              <a:xfrm>
                                <a:off x="0" y="8205"/>
                                <a:ext cx="16825" cy="3700"/>
                              </a:xfrm>
                              <a:prstGeom prst="rect">
                                <a:avLst/>
                              </a:prstGeom>
                              <a:noFill/>
                              <a:ln>
                                <a:noFill/>
                              </a:ln>
                            </wps:spPr>
                            <wps:txbx>
                              <w:txbxContent>
                                <w:p w14:paraId="5498585F" w14:textId="77777777" w:rsidR="003C492F" w:rsidRDefault="003C492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8">
                                <a:alphaModFix/>
                              </a:blip>
                              <a:srcRect/>
                              <a:stretch/>
                            </pic:blipFill>
                            <pic:spPr>
                              <a:xfrm>
                                <a:off x="0" y="10943"/>
                                <a:ext cx="5216" cy="964"/>
                              </a:xfrm>
                              <a:prstGeom prst="rect">
                                <a:avLst/>
                              </a:prstGeom>
                              <a:noFill/>
                              <a:ln>
                                <a:noFill/>
                              </a:ln>
                            </pic:spPr>
                          </pic:pic>
                          <pic:pic xmlns:pic="http://schemas.openxmlformats.org/drawingml/2006/picture">
                            <pic:nvPicPr>
                              <pic:cNvPr id="18" name="Shape 18"/>
                              <pic:cNvPicPr preferRelativeResize="0"/>
                            </pic:nvPicPr>
                            <pic:blipFill rotWithShape="1">
                              <a:blip r:embed="rId9">
                                <a:alphaModFix/>
                              </a:blip>
                              <a:srcRect/>
                              <a:stretch/>
                            </pic:blipFill>
                            <pic:spPr>
                              <a:xfrm>
                                <a:off x="4637" y="10634"/>
                                <a:ext cx="12202" cy="1272"/>
                              </a:xfrm>
                              <a:prstGeom prst="rect">
                                <a:avLst/>
                              </a:prstGeom>
                              <a:noFill/>
                              <a:ln>
                                <a:noFill/>
                              </a:ln>
                            </pic:spPr>
                          </pic:pic>
                          <pic:pic xmlns:pic="http://schemas.openxmlformats.org/drawingml/2006/picture">
                            <pic:nvPicPr>
                              <pic:cNvPr id="19" name="Shape 19"/>
                              <pic:cNvPicPr preferRelativeResize="0"/>
                            </pic:nvPicPr>
                            <pic:blipFill rotWithShape="1">
                              <a:blip r:embed="rId10">
                                <a:alphaModFix/>
                              </a:blip>
                              <a:srcRect/>
                              <a:stretch/>
                            </pic:blipFill>
                            <pic:spPr>
                              <a:xfrm>
                                <a:off x="2781" y="10216"/>
                                <a:ext cx="2370" cy="1691"/>
                              </a:xfrm>
                              <a:prstGeom prst="rect">
                                <a:avLst/>
                              </a:prstGeom>
                              <a:noFill/>
                              <a:ln>
                                <a:noFill/>
                              </a:ln>
                            </pic:spPr>
                          </pic:pic>
                          <pic:pic xmlns:pic="http://schemas.openxmlformats.org/drawingml/2006/picture">
                            <pic:nvPicPr>
                              <pic:cNvPr id="20" name="Shape 20"/>
                              <pic:cNvPicPr preferRelativeResize="0"/>
                            </pic:nvPicPr>
                            <pic:blipFill rotWithShape="1">
                              <a:blip r:embed="rId11">
                                <a:alphaModFix/>
                              </a:blip>
                              <a:srcRect/>
                              <a:stretch/>
                            </pic:blipFill>
                            <pic:spPr>
                              <a:xfrm>
                                <a:off x="0" y="8205"/>
                                <a:ext cx="2803" cy="3702"/>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-547681</wp:posOffset>
                </wp:positionH>
                <wp:positionV relativeFrom="page">
                  <wp:posOffset>5930265</wp:posOffset>
                </wp:positionV>
                <wp:extent cx="20231555" cy="4735091"/>
                <wp:effectExtent b="0" l="0" r="0" t="0"/>
                <wp:wrapNone/>
                <wp:docPr id="6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20231555" cy="4735091"/>
                        </a:xfrm>
                        <a:prstGeom prst="rect"/>
                        <a:ln/>
                      </pic:spPr>
                    </pic:pic>
                  </a:graphicData>
                </a:graphic>
              </wp:anchor>
            </w:drawing>
          </mc:Fallback>
        </mc:AlternateContent>
      </w:r>
    </w:p>
    <w:p w14:paraId="0000000A" w14:textId="77777777" w:rsidR="003C492F" w:rsidRDefault="00B25A22">
      <w:pP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val="tr-TR"/>
        </w:rPr>
        <mc:AlternateContent>
          <mc:Choice Requires="wpg">
            <w:drawing>
              <wp:anchor distT="0" distB="0" distL="114300" distR="114300" simplePos="0" relativeHeight="251659264" behindDoc="0" locked="0" layoutInCell="1" hidden="0" allowOverlap="1">
                <wp:simplePos x="0" y="0"/>
                <wp:positionH relativeFrom="page">
                  <wp:posOffset>-4652956</wp:posOffset>
                </wp:positionH>
                <wp:positionV relativeFrom="page">
                  <wp:posOffset>9096375</wp:posOffset>
                </wp:positionV>
                <wp:extent cx="12214746" cy="1569980"/>
                <wp:effectExtent l="0" t="0" r="0" b="0"/>
                <wp:wrapNone/>
                <wp:docPr id="60" name="Grup 60"/>
                <wp:cNvGraphicFramePr/>
                <a:graphic xmlns:a="http://schemas.openxmlformats.org/drawingml/2006/main">
                  <a:graphicData uri="http://schemas.microsoft.com/office/word/2010/wordprocessingGroup">
                    <wpg:wgp>
                      <wpg:cNvGrpSpPr/>
                      <wpg:grpSpPr>
                        <a:xfrm>
                          <a:off x="0" y="0"/>
                          <a:ext cx="12214746" cy="1569980"/>
                          <a:chOff x="0" y="2995010"/>
                          <a:chExt cx="10692000" cy="1569980"/>
                        </a:xfrm>
                      </wpg:grpSpPr>
                      <wpg:grpSp>
                        <wpg:cNvPr id="5" name="Grup 5"/>
                        <wpg:cNvGrpSpPr/>
                        <wpg:grpSpPr>
                          <a:xfrm>
                            <a:off x="0" y="2995010"/>
                            <a:ext cx="10692000" cy="1569980"/>
                            <a:chOff x="0" y="2994114"/>
                            <a:chExt cx="10692000" cy="1570876"/>
                          </a:xfrm>
                        </wpg:grpSpPr>
                        <wps:wsp>
                          <wps:cNvPr id="6" name="Dikdörtgen 6"/>
                          <wps:cNvSpPr/>
                          <wps:spPr>
                            <a:xfrm>
                              <a:off x="0" y="2994114"/>
                              <a:ext cx="10692000" cy="1570875"/>
                            </a:xfrm>
                            <a:prstGeom prst="rect">
                              <a:avLst/>
                            </a:prstGeom>
                            <a:noFill/>
                            <a:ln>
                              <a:noFill/>
                            </a:ln>
                          </wps:spPr>
                          <wps:txbx>
                            <w:txbxContent>
                              <w:p w14:paraId="5A2BC15F" w14:textId="77777777" w:rsidR="003C492F" w:rsidRDefault="003C492F">
                                <w:pPr>
                                  <w:spacing w:after="0" w:line="240" w:lineRule="auto"/>
                                  <w:textDirection w:val="btLr"/>
                                </w:pPr>
                              </w:p>
                            </w:txbxContent>
                          </wps:txbx>
                          <wps:bodyPr spcFirstLastPara="1" wrap="square" lIns="91425" tIns="91425" rIns="91425" bIns="91425" anchor="ctr" anchorCtr="0">
                            <a:noAutofit/>
                          </wps:bodyPr>
                        </wps:wsp>
                        <wpg:grpSp>
                          <wpg:cNvPr id="7" name="Grup 7"/>
                          <wpg:cNvGrpSpPr/>
                          <wpg:grpSpPr>
                            <a:xfrm>
                              <a:off x="0" y="2994114"/>
                              <a:ext cx="10692000" cy="1570876"/>
                              <a:chOff x="0" y="10153"/>
                              <a:chExt cx="16839" cy="1754"/>
                            </a:xfrm>
                          </wpg:grpSpPr>
                          <wps:wsp>
                            <wps:cNvPr id="8" name="Dikdörtgen 8"/>
                            <wps:cNvSpPr/>
                            <wps:spPr>
                              <a:xfrm>
                                <a:off x="0" y="10154"/>
                                <a:ext cx="16825" cy="1750"/>
                              </a:xfrm>
                              <a:prstGeom prst="rect">
                                <a:avLst/>
                              </a:prstGeom>
                              <a:noFill/>
                              <a:ln>
                                <a:noFill/>
                              </a:ln>
                            </wps:spPr>
                            <wps:txbx>
                              <w:txbxContent>
                                <w:p w14:paraId="79395F98" w14:textId="77777777" w:rsidR="003C492F" w:rsidRDefault="003C492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6"/>
                              <pic:cNvPicPr preferRelativeResize="0"/>
                            </pic:nvPicPr>
                            <pic:blipFill rotWithShape="1">
                              <a:blip r:embed="rId14">
                                <a:alphaModFix/>
                              </a:blip>
                              <a:srcRect/>
                              <a:stretch/>
                            </pic:blipFill>
                            <pic:spPr>
                              <a:xfrm>
                                <a:off x="6281" y="10153"/>
                                <a:ext cx="10558" cy="1753"/>
                              </a:xfrm>
                              <a:prstGeom prst="rect">
                                <a:avLst/>
                              </a:prstGeom>
                              <a:noFill/>
                              <a:ln>
                                <a:noFill/>
                              </a:ln>
                            </pic:spPr>
                          </pic:pic>
                          <pic:pic xmlns:pic="http://schemas.openxmlformats.org/drawingml/2006/picture">
                            <pic:nvPicPr>
                              <pic:cNvPr id="10" name="Shape 7"/>
                              <pic:cNvPicPr preferRelativeResize="0"/>
                            </pic:nvPicPr>
                            <pic:blipFill rotWithShape="1">
                              <a:blip r:embed="rId15">
                                <a:alphaModFix/>
                              </a:blip>
                              <a:srcRect/>
                              <a:stretch/>
                            </pic:blipFill>
                            <pic:spPr>
                              <a:xfrm>
                                <a:off x="0" y="10525"/>
                                <a:ext cx="6278" cy="1382"/>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-4652956</wp:posOffset>
                </wp:positionH>
                <wp:positionV relativeFrom="page">
                  <wp:posOffset>9096375</wp:posOffset>
                </wp:positionV>
                <wp:extent cx="12214746" cy="1569980"/>
                <wp:effectExtent b="0" l="0" r="0" t="0"/>
                <wp:wrapNone/>
                <wp:docPr id="6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12214746" cy="1569980"/>
                        </a:xfrm>
                        <a:prstGeom prst="rect"/>
                        <a:ln/>
                      </pic:spPr>
                    </pic:pic>
                  </a:graphicData>
                </a:graphic>
              </wp:anchor>
            </w:drawing>
          </mc:Fallback>
        </mc:AlternateContent>
      </w:r>
      <w:r>
        <w:br w:type="page"/>
      </w:r>
    </w:p>
    <w:p w14:paraId="0000000B" w14:textId="77777777" w:rsidR="003C492F" w:rsidRDefault="003C492F">
      <w:pPr>
        <w:rPr>
          <w:rFonts w:ascii="Times New Roman" w:eastAsia="Times New Roman" w:hAnsi="Times New Roman" w:cs="Times New Roman"/>
          <w:sz w:val="40"/>
          <w:szCs w:val="40"/>
        </w:rPr>
      </w:pPr>
    </w:p>
    <w:p w14:paraId="00000433" w14:textId="77777777" w:rsidR="003C492F" w:rsidRDefault="003C492F">
      <w:pPr>
        <w:spacing w:before="240" w:after="240" w:line="276" w:lineRule="auto"/>
        <w:jc w:val="both"/>
        <w:rPr>
          <w:rFonts w:ascii="Libre Baskerville" w:eastAsia="Libre Baskerville" w:hAnsi="Libre Baskerville" w:cs="Libre Baskerville"/>
        </w:rPr>
      </w:pPr>
    </w:p>
    <w:p w14:paraId="00000434" w14:textId="77777777" w:rsidR="003C492F" w:rsidRDefault="003C492F">
      <w:pPr>
        <w:spacing w:before="240" w:after="240" w:line="276" w:lineRule="auto"/>
        <w:jc w:val="both"/>
        <w:rPr>
          <w:rFonts w:ascii="Libre Baskerville" w:eastAsia="Libre Baskerville" w:hAnsi="Libre Baskerville" w:cs="Libre Baskerville"/>
        </w:rPr>
      </w:pPr>
      <w:bookmarkStart w:id="1" w:name="_heading=h.30j0zll" w:colFirst="0" w:colLast="0"/>
      <w:bookmarkEnd w:id="1"/>
    </w:p>
    <w:p w14:paraId="00000436"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 xml:space="preserve">CEITIL, Mário (2010). Tendências de evolução da Formação Profissional. Revista Formar. Nº 71. pp. 41-42 </w:t>
      </w:r>
    </w:p>
    <w:p w14:paraId="00000437"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PACHECO, José Augusto (2011). Discursos e lugares das competências em contextos de educação e formação. Coleção Panorama. Porto Editora</w:t>
      </w:r>
    </w:p>
    <w:p w14:paraId="00000438"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FERREIRA, Paulo</w:t>
      </w:r>
      <w:r>
        <w:rPr>
          <w:rFonts w:ascii="Libre Baskerville" w:eastAsia="Libre Baskerville" w:hAnsi="Libre Baskerville" w:cs="Libre Baskerville"/>
        </w:rPr>
        <w:t xml:space="preserve"> da Trindade (2007). Guia do Animador na Formação de Adultos. Coleção Pontos de Referência. Editorial Presença</w:t>
      </w:r>
    </w:p>
    <w:p w14:paraId="00000439"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HARGIE, Owen (2011). Skilled interpersonal communication: research, theory and practice. 5th edition. London and New York: Routledge</w:t>
      </w:r>
    </w:p>
    <w:p w14:paraId="0000043A"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 xml:space="preserve">LOPES, L. e </w:t>
      </w:r>
      <w:r>
        <w:rPr>
          <w:rFonts w:ascii="Libre Baskerville" w:eastAsia="Libre Baskerville" w:hAnsi="Libre Baskerville" w:cs="Libre Baskerville"/>
        </w:rPr>
        <w:t>PEREIRA, M. (2004). Métodos e Técnicas Pedagógicas. Lisboa: Fundação para a Divulgação das Tecnologias da Informação</w:t>
      </w:r>
    </w:p>
    <w:p w14:paraId="0000043B"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BÁRBARA, Luís (2009). Métodos e Técnicas Pedagógicas/Andragógicas. Edição FCA – Teto de Nuvens</w:t>
      </w:r>
    </w:p>
    <w:p w14:paraId="0000043C" w14:textId="77777777" w:rsidR="003C492F" w:rsidRDefault="00B25A22">
      <w:pPr>
        <w:spacing w:before="240"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GOUVEIA, João (2005). Manual de Avaliação da</w:t>
      </w:r>
      <w:r>
        <w:rPr>
          <w:rFonts w:ascii="Libre Baskerville" w:eastAsia="Libre Baskerville" w:hAnsi="Libre Baskerville" w:cs="Libre Baskerville"/>
        </w:rPr>
        <w:t xml:space="preserve"> Formação. POEFDS, Centro de Recursos em Conhecimento.</w:t>
      </w:r>
    </w:p>
    <w:p w14:paraId="0000043D" w14:textId="77777777" w:rsidR="003C492F" w:rsidRDefault="00B25A22">
      <w:pPr>
        <w:spacing w:after="0" w:line="276" w:lineRule="auto"/>
        <w:jc w:val="both"/>
        <w:rPr>
          <w:rFonts w:ascii="Libre Baskerville" w:eastAsia="Libre Baskerville" w:hAnsi="Libre Baskerville" w:cs="Libre Baskerville"/>
        </w:rPr>
      </w:pPr>
      <w:hyperlink r:id="rId17">
        <w:r>
          <w:rPr>
            <w:rFonts w:ascii="Libre Baskerville" w:eastAsia="Libre Baskerville" w:hAnsi="Libre Baskerville" w:cs="Libre Baskerville"/>
          </w:rPr>
          <w:t>https://www.casadeglietruschi.it/news/arteterapia-e-anziani-larte-del-benessere/</w:t>
        </w:r>
      </w:hyperlink>
    </w:p>
    <w:p w14:paraId="0000043E" w14:textId="77777777" w:rsidR="003C492F" w:rsidRDefault="00B25A22">
      <w:pPr>
        <w:spacing w:after="0" w:line="276" w:lineRule="auto"/>
        <w:jc w:val="both"/>
        <w:rPr>
          <w:rFonts w:ascii="Libre Baskerville" w:eastAsia="Libre Baskerville" w:hAnsi="Libre Baskerville" w:cs="Libre Baskerville"/>
        </w:rPr>
      </w:pPr>
      <w:hyperlink r:id="rId18">
        <w:r>
          <w:rPr>
            <w:rFonts w:ascii="Libre Baskerville" w:eastAsia="Libre Baskerville" w:hAnsi="Libre Baskerville" w:cs="Libre Baskerville"/>
          </w:rPr>
          <w:t>https://www.researchgate.net/publication/283901327_Dance_and_Aging_A_Critical_Review_of_Findings_in_Neuroscience</w:t>
        </w:r>
      </w:hyperlink>
    </w:p>
    <w:p w14:paraId="0000043F" w14:textId="77777777" w:rsidR="003C492F" w:rsidRDefault="00B25A22">
      <w:pPr>
        <w:spacing w:after="0" w:line="276" w:lineRule="auto"/>
        <w:jc w:val="both"/>
        <w:rPr>
          <w:rFonts w:ascii="Libre Baskerville" w:eastAsia="Libre Baskerville" w:hAnsi="Libre Baskerville" w:cs="Libre Baskerville"/>
        </w:rPr>
      </w:pPr>
      <w:hyperlink r:id="rId19">
        <w:r>
          <w:rPr>
            <w:rFonts w:ascii="Libre Baskerville" w:eastAsia="Libre Baskerville" w:hAnsi="Libre Baskerville" w:cs="Libre Baskerville"/>
          </w:rPr>
          <w:t>https://www.frontiersin.org/articles/10.3389/fpsyg.2021.635975/full</w:t>
        </w:r>
      </w:hyperlink>
    </w:p>
    <w:p w14:paraId="00000440" w14:textId="77777777" w:rsidR="003C492F" w:rsidRDefault="00B25A22">
      <w:pPr>
        <w:spacing w:after="0" w:line="276" w:lineRule="auto"/>
        <w:jc w:val="both"/>
        <w:rPr>
          <w:rFonts w:ascii="Libre Baskerville" w:eastAsia="Libre Baskerville" w:hAnsi="Libre Baskerville" w:cs="Libre Baskerville"/>
        </w:rPr>
      </w:pPr>
      <w:hyperlink r:id="rId20">
        <w:r>
          <w:rPr>
            <w:rFonts w:ascii="Libre Baskerville" w:eastAsia="Libre Baskerville" w:hAnsi="Libre Baskerville" w:cs="Libre Baskerville"/>
          </w:rPr>
          <w:t>https://ebcj.mums.ac.ir/article_11286.html</w:t>
        </w:r>
      </w:hyperlink>
    </w:p>
    <w:p w14:paraId="00000441" w14:textId="77777777" w:rsidR="003C492F" w:rsidRDefault="00B25A22">
      <w:pPr>
        <w:spacing w:after="0" w:line="276" w:lineRule="auto"/>
        <w:jc w:val="both"/>
        <w:rPr>
          <w:rFonts w:ascii="Libre Baskerville" w:eastAsia="Libre Baskerville" w:hAnsi="Libre Baskerville" w:cs="Libre Baskerville"/>
        </w:rPr>
      </w:pPr>
      <w:hyperlink r:id="rId21">
        <w:r>
          <w:rPr>
            <w:rFonts w:ascii="Libre Baskerville" w:eastAsia="Libre Baskerville" w:hAnsi="Libre Baskerville" w:cs="Libre Baskerville"/>
          </w:rPr>
          <w:t>https://journals.sagepub.com/doi/10.1177/0891988720901789</w:t>
        </w:r>
      </w:hyperlink>
    </w:p>
    <w:p w14:paraId="00000442" w14:textId="77777777" w:rsidR="003C492F" w:rsidRDefault="003C492F">
      <w:pPr>
        <w:spacing w:after="0" w:line="276" w:lineRule="auto"/>
        <w:jc w:val="both"/>
        <w:rPr>
          <w:rFonts w:ascii="Libre Baskerville" w:eastAsia="Libre Baskerville" w:hAnsi="Libre Baskerville" w:cs="Libre Baskerville"/>
        </w:rPr>
      </w:pPr>
    </w:p>
    <w:p w14:paraId="00000443" w14:textId="77777777" w:rsidR="003C492F" w:rsidRDefault="00B25A22">
      <w:pPr>
        <w:spacing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National Endowment for the arts, The arts and aging, building the science, National endowment for the Arts Office of research &amp; A</w:t>
      </w:r>
      <w:r>
        <w:rPr>
          <w:rFonts w:ascii="Libre Baskerville" w:eastAsia="Libre Baskerville" w:hAnsi="Libre Baskerville" w:cs="Libre Baskerville"/>
        </w:rPr>
        <w:t>nalysis, 2013</w:t>
      </w:r>
    </w:p>
    <w:p w14:paraId="00000444" w14:textId="77777777" w:rsidR="003C492F" w:rsidRDefault="003C492F">
      <w:pPr>
        <w:spacing w:after="0" w:line="276" w:lineRule="auto"/>
        <w:jc w:val="both"/>
        <w:rPr>
          <w:rFonts w:ascii="Libre Baskerville" w:eastAsia="Libre Baskerville" w:hAnsi="Libre Baskerville" w:cs="Libre Baskerville"/>
        </w:rPr>
      </w:pPr>
    </w:p>
    <w:p w14:paraId="00000445" w14:textId="77777777" w:rsidR="003C492F" w:rsidRDefault="00B25A22">
      <w:pPr>
        <w:spacing w:after="0" w:line="276" w:lineRule="auto"/>
        <w:jc w:val="both"/>
        <w:rPr>
          <w:rFonts w:ascii="Libre Baskerville" w:eastAsia="Libre Baskerville" w:hAnsi="Libre Baskerville" w:cs="Libre Baskerville"/>
        </w:rPr>
      </w:pPr>
      <w:hyperlink r:id="rId22">
        <w:r>
          <w:rPr>
            <w:rFonts w:ascii="Libre Baskerville" w:eastAsia="Libre Baskerville" w:hAnsi="Libre Baskerville" w:cs="Libre Baskerville"/>
          </w:rPr>
          <w:t>https://nexus.jefferson.edu/health/how-can-we-harness-new-applications-of-art-therapy/</w:t>
        </w:r>
      </w:hyperlink>
    </w:p>
    <w:p w14:paraId="00000446" w14:textId="77777777" w:rsidR="003C492F" w:rsidRDefault="003C492F">
      <w:pPr>
        <w:spacing w:after="0" w:line="276" w:lineRule="auto"/>
        <w:jc w:val="both"/>
        <w:rPr>
          <w:rFonts w:ascii="Libre Baskerville" w:eastAsia="Libre Baskerville" w:hAnsi="Libre Baskerville" w:cs="Libre Baskerville"/>
        </w:rPr>
      </w:pPr>
    </w:p>
    <w:p w14:paraId="00000447" w14:textId="77777777" w:rsidR="003C492F" w:rsidRDefault="00B25A22">
      <w:pPr>
        <w:spacing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 xml:space="preserve">Professor Sarah Harper, Dr Kate Hamblin, “This </w:t>
      </w:r>
      <w:r>
        <w:rPr>
          <w:rFonts w:ascii="Libre Baskerville" w:eastAsia="Libre Baskerville" w:hAnsi="Libre Baskerville" w:cs="Libre Baskerville"/>
        </w:rPr>
        <w:t>is living”, Oxford Institute of Ageing, University of Oxford</w:t>
      </w:r>
    </w:p>
    <w:p w14:paraId="00000448" w14:textId="77777777" w:rsidR="003C492F" w:rsidRDefault="00B25A22">
      <w:pPr>
        <w:spacing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t>Anna Rita Coricciati e Sabrina Stinziani, Le immagini raccontano, 2011</w:t>
      </w:r>
    </w:p>
    <w:p w14:paraId="00000449" w14:textId="77777777" w:rsidR="003C492F" w:rsidRDefault="00B25A22">
      <w:pPr>
        <w:spacing w:after="0" w:line="276" w:lineRule="auto"/>
        <w:jc w:val="both"/>
        <w:rPr>
          <w:rFonts w:ascii="Libre Baskerville" w:eastAsia="Libre Baskerville" w:hAnsi="Libre Baskerville" w:cs="Libre Baskerville"/>
        </w:rPr>
      </w:pPr>
      <w:r>
        <w:rPr>
          <w:rFonts w:ascii="Libre Baskerville" w:eastAsia="Libre Baskerville" w:hAnsi="Libre Baskerville" w:cs="Libre Baskerville"/>
        </w:rPr>
        <w:lastRenderedPageBreak/>
        <w:t>Nuove Arti terapie, N. 18/2011</w:t>
      </w:r>
    </w:p>
    <w:p w14:paraId="0000044A" w14:textId="77777777" w:rsidR="003C492F" w:rsidRDefault="00B25A22">
      <w:pPr>
        <w:rPr>
          <w:rFonts w:ascii="Libre Baskerville" w:eastAsia="Libre Baskerville" w:hAnsi="Libre Baskerville" w:cs="Libre Baskerville"/>
        </w:rPr>
      </w:pPr>
      <w:hyperlink r:id="rId23">
        <w:r>
          <w:rPr>
            <w:rFonts w:ascii="Libre Baskerville" w:eastAsia="Libre Baskerville" w:hAnsi="Libre Baskerville" w:cs="Libre Baskerville"/>
          </w:rPr>
          <w:t>Case, Caroline</w:t>
        </w:r>
      </w:hyperlink>
      <w:r>
        <w:rPr>
          <w:rFonts w:ascii="Libre Baskerville" w:eastAsia="Libre Baskerville" w:hAnsi="Libre Baskerville" w:cs="Libre Baskerville"/>
        </w:rPr>
        <w:t xml:space="preserve"> and</w:t>
      </w:r>
      <w:r>
        <w:rPr>
          <w:rFonts w:ascii="Libre Baskerville" w:eastAsia="Libre Baskerville" w:hAnsi="Libre Baskerville" w:cs="Libre Baskerville"/>
        </w:rPr>
        <w:t xml:space="preserve"> </w:t>
      </w:r>
      <w:hyperlink r:id="rId24">
        <w:r>
          <w:rPr>
            <w:rFonts w:ascii="Libre Baskerville" w:eastAsia="Libre Baskerville" w:hAnsi="Libre Baskerville" w:cs="Libre Baskerville"/>
          </w:rPr>
          <w:t>Tessa Dalley</w:t>
        </w:r>
      </w:hyperlink>
      <w:r>
        <w:rPr>
          <w:rFonts w:ascii="Libre Baskerville" w:eastAsia="Libre Baskerville" w:hAnsi="Libre Baskerville" w:cs="Libre Baskerville"/>
        </w:rPr>
        <w:t xml:space="preserve"> , </w:t>
      </w:r>
      <w:hyperlink r:id="rId25">
        <w:r>
          <w:rPr>
            <w:rFonts w:ascii="Libre Baskerville" w:eastAsia="Libre Baskerville" w:hAnsi="Libre Baskerville" w:cs="Libre Baskerville"/>
          </w:rPr>
          <w:t xml:space="preserve">"The art therapy room" </w:t>
        </w:r>
      </w:hyperlink>
      <w:r>
        <w:rPr>
          <w:rFonts w:ascii="Libre Baskerville" w:eastAsia="Libre Baskerville" w:hAnsi="Libre Baskerville" w:cs="Libre Baskerville"/>
        </w:rPr>
        <w:t xml:space="preserve"> (2014)  in </w:t>
      </w:r>
      <w:hyperlink r:id="rId26">
        <w:r>
          <w:rPr>
            <w:rFonts w:ascii="Libre Baskerville" w:eastAsia="Libre Baskerville" w:hAnsi="Libre Baskerville" w:cs="Libre Baskerville"/>
          </w:rPr>
          <w:t>The Handbook of Art Therapy</w:t>
        </w:r>
      </w:hyperlink>
      <w:r>
        <w:rPr>
          <w:rFonts w:ascii="Libre Baskerville" w:eastAsia="Libre Baskerville" w:hAnsi="Libre Baskerville" w:cs="Libre Baskerville"/>
        </w:rPr>
        <w:t xml:space="preserve"> ed. </w:t>
      </w:r>
      <w:hyperlink r:id="rId27">
        <w:r>
          <w:rPr>
            <w:rFonts w:ascii="Libre Baskerville" w:eastAsia="Libre Baskerville" w:hAnsi="Libre Baskerville" w:cs="Libre Baskerville"/>
          </w:rPr>
          <w:t>Caroline Case</w:t>
        </w:r>
      </w:hyperlink>
      <w:r>
        <w:rPr>
          <w:rFonts w:ascii="Libre Baskerville" w:eastAsia="Libre Baskerville" w:hAnsi="Libre Baskerville" w:cs="Libre Baskerville"/>
        </w:rPr>
        <w:t xml:space="preserve"> and </w:t>
      </w:r>
      <w:hyperlink r:id="rId28">
        <w:r>
          <w:rPr>
            <w:rFonts w:ascii="Libre Baskerville" w:eastAsia="Libre Baskerville" w:hAnsi="Libre Baskerville" w:cs="Libre Baskerville"/>
          </w:rPr>
          <w:t>Tessa Dalley</w:t>
        </w:r>
      </w:hyperlink>
      <w:r>
        <w:rPr>
          <w:rFonts w:ascii="Libre Baskerville" w:eastAsia="Libre Baskerville" w:hAnsi="Libre Baskerville" w:cs="Libre Baskerville"/>
        </w:rPr>
        <w:t>. accessed 0</w:t>
      </w:r>
      <w:r>
        <w:rPr>
          <w:rFonts w:ascii="Libre Baskerville" w:eastAsia="Libre Baskerville" w:hAnsi="Libre Baskerville" w:cs="Libre Baskerville"/>
        </w:rPr>
        <w:t xml:space="preserve">1 july. 2022 , Routledge Handbooks Online: </w:t>
      </w:r>
      <w:hyperlink r:id="rId29">
        <w:r>
          <w:rPr>
            <w:rFonts w:ascii="Libre Baskerville" w:eastAsia="Libre Baskerville" w:hAnsi="Libre Baskerville" w:cs="Libre Baskerville"/>
          </w:rPr>
          <w:t>https://www.routledgehandbooks.com/doi/10.4324/9781315779799.ch3</w:t>
        </w:r>
      </w:hyperlink>
      <w:r>
        <w:rPr>
          <w:rFonts w:ascii="Libre Baskerville" w:eastAsia="Libre Baskerville" w:hAnsi="Libre Baskerville" w:cs="Libre Baskerville"/>
        </w:rPr>
        <w:t xml:space="preserve"> </w:t>
      </w:r>
    </w:p>
    <w:p w14:paraId="0000044B" w14:textId="77777777" w:rsidR="003C492F" w:rsidRDefault="00B25A22">
      <w:pPr>
        <w:rPr>
          <w:rFonts w:ascii="Libre Baskerville" w:eastAsia="Libre Baskerville" w:hAnsi="Libre Baskerville" w:cs="Libre Baskerville"/>
        </w:rPr>
      </w:pPr>
      <w:r>
        <w:rPr>
          <w:rFonts w:ascii="Libre Baskerville" w:eastAsia="Libre Baskerville" w:hAnsi="Libre Baskerville" w:cs="Libre Baskerville"/>
        </w:rPr>
        <w:t>Carr, Catherine &amp; Feldtkeller, Barbara &amp; Havsteen-Franklin, Dom</w:t>
      </w:r>
      <w:r>
        <w:rPr>
          <w:rFonts w:ascii="Libre Baskerville" w:eastAsia="Libre Baskerville" w:hAnsi="Libre Baskerville" w:cs="Libre Baskerville"/>
        </w:rPr>
        <w:t xml:space="preserve">inik &amp; Huet, Val &amp; Karkou Vicky &amp; Sandford Stephen (2018) Group Arts Therapies Manual. East London Foundation NHS Trust Queen Mary University of London. Accessed on 01 July 2022. </w:t>
      </w:r>
      <w:hyperlink r:id="rId30">
        <w:r>
          <w:rPr>
            <w:rFonts w:ascii="Libre Baskerville" w:eastAsia="Libre Baskerville" w:hAnsi="Libre Baskerville" w:cs="Libre Baskerville"/>
          </w:rPr>
          <w:t>https://www.elft.nhs.uk/sites/default/files/5.%20190131ERAManualv1-1.pdf</w:t>
        </w:r>
      </w:hyperlink>
      <w:r>
        <w:rPr>
          <w:rFonts w:ascii="Libre Baskerville" w:eastAsia="Libre Baskerville" w:hAnsi="Libre Baskerville" w:cs="Libre Baskerville"/>
        </w:rPr>
        <w:t xml:space="preserve"> </w:t>
      </w:r>
    </w:p>
    <w:p w14:paraId="0000044C" w14:textId="77777777" w:rsidR="003C492F" w:rsidRDefault="00B25A22">
      <w:pPr>
        <w:rPr>
          <w:rFonts w:ascii="Libre Baskerville" w:eastAsia="Libre Baskerville" w:hAnsi="Libre Baskerville" w:cs="Libre Baskerville"/>
        </w:rPr>
      </w:pPr>
      <w:r>
        <w:rPr>
          <w:rFonts w:ascii="Libre Baskerville" w:eastAsia="Libre Baskerville" w:hAnsi="Libre Baskerville" w:cs="Libre Baskerville"/>
        </w:rPr>
        <w:t>Danieli, Yafit &amp; Snir, Sharon &amp; Regev, Dafna &amp; Adoni-Kroyanker, Michal. (2019). Suitability of the art therapy room and changes in outcome measures in the education sy</w:t>
      </w:r>
      <w:r>
        <w:rPr>
          <w:rFonts w:ascii="Libre Baskerville" w:eastAsia="Libre Baskerville" w:hAnsi="Libre Baskerville" w:cs="Libre Baskerville"/>
        </w:rPr>
        <w:t xml:space="preserve">stem. International Journal of Art Therapy. 24. 1-8. 10.1080/17454832.2018.1564778. accessed 01 july 2022. </w:t>
      </w:r>
      <w:hyperlink r:id="rId31">
        <w:r>
          <w:rPr>
            <w:rFonts w:ascii="Libre Baskerville" w:eastAsia="Libre Baskerville" w:hAnsi="Libre Baskerville" w:cs="Libre Baskerville"/>
          </w:rPr>
          <w:t>https://www.researchgate.net/publication/330226776_Suitability_of_the_art_therapy_room_and_changes_in_outcome_measures_in_the_education_system</w:t>
        </w:r>
      </w:hyperlink>
      <w:r>
        <w:rPr>
          <w:rFonts w:ascii="Libre Baskerville" w:eastAsia="Libre Baskerville" w:hAnsi="Libre Baskerville" w:cs="Libre Baskerville"/>
        </w:rPr>
        <w:t xml:space="preserve"> </w:t>
      </w:r>
    </w:p>
    <w:p w14:paraId="0000044D" w14:textId="77777777" w:rsidR="003C492F" w:rsidRDefault="00B25A22">
      <w:pPr>
        <w:rPr>
          <w:rFonts w:ascii="Libre Baskerville" w:eastAsia="Libre Baskerville" w:hAnsi="Libre Baskerville" w:cs="Libre Baskerville"/>
        </w:rPr>
      </w:pPr>
      <w:r>
        <w:rPr>
          <w:rFonts w:ascii="Libre Baskerville" w:eastAsia="Libre Baskerville" w:hAnsi="Libre Baskerville" w:cs="Libre Baskerville"/>
        </w:rPr>
        <w:t xml:space="preserve">Lieban, Marian (2004). Art therapy for groups. A handbook of themes and exercises. Second edition. </w:t>
      </w:r>
      <w:r>
        <w:rPr>
          <w:rFonts w:ascii="Libre Baskerville" w:eastAsia="Libre Baskerville" w:hAnsi="Libre Baskerville" w:cs="Libre Baskerville"/>
        </w:rPr>
        <w:t xml:space="preserve">Brunner Routledge. Accessed on 01 July 2022. </w:t>
      </w:r>
      <w:hyperlink r:id="rId32">
        <w:r>
          <w:rPr>
            <w:rFonts w:ascii="Libre Baskerville" w:eastAsia="Libre Baskerville" w:hAnsi="Libre Baskerville" w:cs="Libre Baskerville"/>
          </w:rPr>
          <w:t>https://readpbn.com/pdf/Art-Therapy-for-Groups-Sample-Pages.pdf</w:t>
        </w:r>
      </w:hyperlink>
      <w:r>
        <w:rPr>
          <w:rFonts w:ascii="Libre Baskerville" w:eastAsia="Libre Baskerville" w:hAnsi="Libre Baskerville" w:cs="Libre Baskerville"/>
        </w:rPr>
        <w:t xml:space="preserve"> </w:t>
      </w:r>
    </w:p>
    <w:p w14:paraId="0000044E" w14:textId="77777777" w:rsidR="003C492F" w:rsidRDefault="00B25A22">
      <w:pPr>
        <w:rPr>
          <w:rFonts w:ascii="Libre Baskerville" w:eastAsia="Libre Baskerville" w:hAnsi="Libre Baskerville" w:cs="Libre Baskerville"/>
        </w:rPr>
      </w:pPr>
      <w:r>
        <w:rPr>
          <w:rFonts w:ascii="Libre Baskerville" w:eastAsia="Libre Baskerville" w:hAnsi="Libre Baskerville" w:cs="Libre Baskerville"/>
        </w:rPr>
        <w:t>Zubala, Ania &amp; Kennel, Nicola &amp; Kackett, Simon (2021). Art Ther</w:t>
      </w:r>
      <w:r>
        <w:rPr>
          <w:rFonts w:ascii="Libre Baskerville" w:eastAsia="Libre Baskerville" w:hAnsi="Libre Baskerville" w:cs="Libre Baskerville"/>
        </w:rPr>
        <w:t xml:space="preserve">apy in the Digital World: An Integrative Review of Current Practice and Future Directions. In Frontiers of Psychology.Accessed on 01 July 2022.  </w:t>
      </w:r>
      <w:hyperlink r:id="rId33">
        <w:r>
          <w:rPr>
            <w:rFonts w:ascii="Libre Baskerville" w:eastAsia="Libre Baskerville" w:hAnsi="Libre Baskerville" w:cs="Libre Baskerville"/>
          </w:rPr>
          <w:t>https://doi.org/10.3389/fpsyg.2021.600070</w:t>
        </w:r>
      </w:hyperlink>
    </w:p>
    <w:p w14:paraId="0000044F" w14:textId="77777777" w:rsidR="003C492F" w:rsidRDefault="003C492F">
      <w:pPr>
        <w:rPr>
          <w:rFonts w:ascii="Libre Baskerville" w:eastAsia="Libre Baskerville" w:hAnsi="Libre Baskerville" w:cs="Libre Baskerville"/>
        </w:rPr>
      </w:pPr>
    </w:p>
    <w:sectPr w:rsidR="003C492F">
      <w:headerReference w:type="default" r:id="rId34"/>
      <w:footerReference w:type="default" r:id="rId35"/>
      <w:pgSz w:w="11906" w:h="16838"/>
      <w:pgMar w:top="1417" w:right="1417" w:bottom="1417" w:left="1417" w:header="567" w:footer="283"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9664A" w14:textId="77777777" w:rsidR="00B25A22" w:rsidRDefault="00B25A22">
      <w:pPr>
        <w:spacing w:after="0" w:line="240" w:lineRule="auto"/>
      </w:pPr>
      <w:r>
        <w:separator/>
      </w:r>
    </w:p>
  </w:endnote>
  <w:endnote w:type="continuationSeparator" w:id="0">
    <w:p w14:paraId="6548069F" w14:textId="77777777" w:rsidR="00B25A22" w:rsidRDefault="00B2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Libre Baskerville">
    <w:altName w:val="Times New Roman"/>
    <w:charset w:val="00"/>
    <w:family w:val="auto"/>
    <w:pitch w:val="default"/>
  </w:font>
  <w:font w:name="Corbel">
    <w:panose1 w:val="020B0503020204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2" w14:textId="77777777" w:rsidR="003C492F" w:rsidRDefault="00B25A22">
    <w:pPr>
      <w:pBdr>
        <w:top w:val="nil"/>
        <w:left w:val="nil"/>
        <w:bottom w:val="nil"/>
        <w:right w:val="nil"/>
        <w:between w:val="nil"/>
      </w:pBdr>
      <w:tabs>
        <w:tab w:val="center" w:pos="4536"/>
        <w:tab w:val="right" w:pos="9072"/>
      </w:tabs>
      <w:spacing w:after="0" w:line="240" w:lineRule="auto"/>
      <w:jc w:val="both"/>
      <w:rPr>
        <w:color w:val="002060"/>
      </w:rPr>
    </w:pPr>
    <w:r>
      <w:rPr>
        <w:rFonts w:ascii="Corbel" w:eastAsia="Corbel" w:hAnsi="Corbel" w:cs="Corbel"/>
        <w:color w:val="002060"/>
        <w:sz w:val="16"/>
        <w:szCs w:val="16"/>
      </w:rPr>
      <w:t>This project has been funded with support from the European Commission. This presentation reflects the views only of the authors, the commission and Turkish National Agency cannot be held responsible for any use which may be made of the information contain</w:t>
    </w:r>
    <w:r>
      <w:rPr>
        <w:rFonts w:ascii="Corbel" w:eastAsia="Corbel" w:hAnsi="Corbel" w:cs="Corbel"/>
        <w:color w:val="002060"/>
        <w:sz w:val="16"/>
        <w:szCs w:val="16"/>
      </w:rPr>
      <w:t>ed therein.</w:t>
    </w:r>
  </w:p>
  <w:p w14:paraId="00000453" w14:textId="77777777" w:rsidR="003C492F" w:rsidRDefault="003C492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3321B" w14:textId="77777777" w:rsidR="00B25A22" w:rsidRDefault="00B25A22">
      <w:pPr>
        <w:spacing w:after="0" w:line="240" w:lineRule="auto"/>
      </w:pPr>
      <w:r>
        <w:separator/>
      </w:r>
    </w:p>
  </w:footnote>
  <w:footnote w:type="continuationSeparator" w:id="0">
    <w:p w14:paraId="262FC47A" w14:textId="77777777" w:rsidR="00B25A22" w:rsidRDefault="00B25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50" w14:textId="77777777" w:rsidR="003C492F" w:rsidRDefault="003C492F">
    <w:pPr>
      <w:spacing w:line="360" w:lineRule="auto"/>
      <w:ind w:left="720"/>
      <w:rPr>
        <w:rFonts w:ascii="Times New Roman" w:eastAsia="Times New Roman" w:hAnsi="Times New Roman" w:cs="Times New Roman"/>
        <w:b/>
        <w:color w:val="525855"/>
        <w:sz w:val="18"/>
        <w:szCs w:val="18"/>
      </w:rPr>
    </w:pPr>
  </w:p>
  <w:p w14:paraId="00000451" w14:textId="77777777" w:rsidR="003C492F" w:rsidRDefault="00B25A22">
    <w:pPr>
      <w:pBdr>
        <w:top w:val="nil"/>
        <w:left w:val="nil"/>
        <w:bottom w:val="nil"/>
        <w:right w:val="nil"/>
        <w:between w:val="nil"/>
      </w:pBdr>
      <w:tabs>
        <w:tab w:val="center" w:pos="4536"/>
        <w:tab w:val="right" w:pos="9072"/>
      </w:tabs>
      <w:spacing w:after="0" w:line="240" w:lineRule="auto"/>
      <w:ind w:left="-709"/>
      <w:jc w:val="center"/>
      <w:rPr>
        <w:color w:val="000000"/>
      </w:rPr>
    </w:pPr>
    <w:r>
      <w:rPr>
        <w:noProof/>
        <w:color w:val="000000"/>
        <w:lang w:val="tr-TR"/>
      </w:rPr>
      <w:drawing>
        <wp:inline distT="0" distB="0" distL="0" distR="0">
          <wp:extent cx="6823555" cy="733108"/>
          <wp:effectExtent l="0" t="0" r="0" b="0"/>
          <wp:docPr id="67" name="image8.jpg" descr="C:\Users\celile.sari.AILEVECALISMA\Desktop\Dosyalar\Projeler\Devam Eden Projeler\ELISTAT\basic documents\Logo\elista logo dıkey.jpg"/>
          <wp:cNvGraphicFramePr/>
          <a:graphic xmlns:a="http://schemas.openxmlformats.org/drawingml/2006/main">
            <a:graphicData uri="http://schemas.openxmlformats.org/drawingml/2006/picture">
              <pic:pic xmlns:pic="http://schemas.openxmlformats.org/drawingml/2006/picture">
                <pic:nvPicPr>
                  <pic:cNvPr id="0" name="image8.jpg" descr="C:\Users\celile.sari.AILEVECALISMA\Desktop\Dosyalar\Projeler\Devam Eden Projeler\ELISTAT\basic documents\Logo\elista logo dıkey.jpg"/>
                  <pic:cNvPicPr preferRelativeResize="0"/>
                </pic:nvPicPr>
                <pic:blipFill>
                  <a:blip r:embed="rId1"/>
                  <a:srcRect/>
                  <a:stretch>
                    <a:fillRect/>
                  </a:stretch>
                </pic:blipFill>
                <pic:spPr>
                  <a:xfrm>
                    <a:off x="0" y="0"/>
                    <a:ext cx="6823555" cy="73310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92F"/>
    <w:rsid w:val="003C492F"/>
    <w:rsid w:val="003F459E"/>
    <w:rsid w:val="00421E7C"/>
    <w:rsid w:val="007F3C0E"/>
    <w:rsid w:val="00B25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1D21C-EC61-4C99-84FC-FD1554E3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8370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7065"/>
    <w:rPr>
      <w:lang w:val="en-US"/>
    </w:rPr>
  </w:style>
  <w:style w:type="paragraph" w:styleId="Altbilgi">
    <w:name w:val="footer"/>
    <w:basedOn w:val="Normal"/>
    <w:link w:val="AltbilgiChar"/>
    <w:uiPriority w:val="99"/>
    <w:unhideWhenUsed/>
    <w:rsid w:val="0083706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065"/>
    <w:rPr>
      <w:lang w:val="en-US"/>
    </w:rPr>
  </w:style>
  <w:style w:type="paragraph" w:styleId="ListeParagraf">
    <w:name w:val="List Paragraph"/>
    <w:basedOn w:val="Normal"/>
    <w:uiPriority w:val="34"/>
    <w:qFormat/>
    <w:rsid w:val="00453583"/>
    <w:pPr>
      <w:ind w:left="720"/>
      <w:contextualSpacing/>
    </w:p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researchgate.net/publication/283901327_Dance_and_Aging_A_Critical_Review_of_Findings_in_Neuroscience" TargetMode="External"/><Relationship Id="rId26" Type="http://schemas.openxmlformats.org/officeDocument/2006/relationships/hyperlink" Target="https://www.routledgehandbooks.com/doi/10.4324/9781315779799" TargetMode="External"/><Relationship Id="rId3" Type="http://schemas.openxmlformats.org/officeDocument/2006/relationships/styles" Target="styles.xml"/><Relationship Id="rId21" Type="http://schemas.openxmlformats.org/officeDocument/2006/relationships/hyperlink" Target="https://journals.sagepub.com/doi/10.1177/0891988720901789" TargetMode="External"/><Relationship Id="rId34"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hyperlink" Target="https://www.casadeglietruschi.it/news/arteterapia-e-anziani-larte-del-benessere/" TargetMode="External"/><Relationship Id="rId25" Type="http://schemas.openxmlformats.org/officeDocument/2006/relationships/hyperlink" Target="https://www.routledgehandbooks.com/doi/10.4324/9781315779799.ch3" TargetMode="External"/><Relationship Id="rId33" Type="http://schemas.openxmlformats.org/officeDocument/2006/relationships/hyperlink" Target="https://doi.org/10.3389/fpsyg.2021.600070" TargetMode="Externa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hyperlink" Target="https://ebcj.mums.ac.ir/article_11286.html" TargetMode="External"/><Relationship Id="rId29" Type="http://schemas.openxmlformats.org/officeDocument/2006/relationships/hyperlink" Target="https://www.routledgehandbooks.com/doi/10.4324/9781315779799.ch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outledgehandbooks.com/author/Tessa_Dalley" TargetMode="External"/><Relationship Id="rId32" Type="http://schemas.openxmlformats.org/officeDocument/2006/relationships/hyperlink" Target="https://readpbn.com/pdf/Art-Therapy-for-Groups-Sample-Pages.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outledgehandbooks.com/author/Caroline_Case" TargetMode="External"/><Relationship Id="rId28" Type="http://schemas.openxmlformats.org/officeDocument/2006/relationships/hyperlink" Target="https://www.routledgehandbooks.com/author/Tessa_Dalley"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rontiersin.org/articles/10.3389/fpsyg.2021.635975/full" TargetMode="External"/><Relationship Id="rId31" Type="http://schemas.openxmlformats.org/officeDocument/2006/relationships/hyperlink" Target="https://www.researchgate.net/publication/330226776_Suitability_of_the_art_therapy_room_and_changes_in_outcome_measures_in_the_education_syst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nexus.jefferson.edu/health/how-can-we-harness-new-applications-of-art-therapy/" TargetMode="External"/><Relationship Id="rId27" Type="http://schemas.openxmlformats.org/officeDocument/2006/relationships/hyperlink" Target="https://www.routledgehandbooks.com/author/Caroline_Case" TargetMode="External"/><Relationship Id="rId30" Type="http://schemas.openxmlformats.org/officeDocument/2006/relationships/hyperlink" Target="https://www.elft.nhs.uk/sites/default/files/5.%20190131ERAManualv1-1.pdf" TargetMode="External"/><Relationship Id="rId35"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GHNnY8I3sAVR5mwmc4R0Q8cMhA==">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707</Words>
  <Characters>4032</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Celile Sari</dc:creator>
  <cp:lastModifiedBy>Microsoft hesabı</cp:lastModifiedBy>
  <cp:revision>4</cp:revision>
  <dcterms:created xsi:type="dcterms:W3CDTF">2024-02-01T13:25:00Z</dcterms:created>
  <dcterms:modified xsi:type="dcterms:W3CDTF">2024-02-01T13:30:00Z</dcterms:modified>
</cp:coreProperties>
</file>